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88" w:before="0" w:after="48"/>
        <w:jc w:val="center"/>
        <w:rPr>
          <w:rFonts w:ascii="Times New Roman" w:hAnsi="Times New Roman" w:eastAsia="Times New Roman" w:cs="Times New Roman"/>
          <w:color w:val="000000"/>
          <w:sz w:val="24"/>
          <w:szCs w:val="24"/>
          <w:lang w:eastAsia="pt-BR"/>
        </w:rPr>
      </w:pPr>
      <w:bookmarkStart w:id="0" w:name="_GoBack"/>
      <w:bookmarkEnd w:id="0"/>
      <w:r>
        <w:rPr>
          <w:rFonts w:eastAsia="Times New Roman" w:cs="Times New Roman" w:ascii="Times New Roman" w:hAnsi="Times New Roman"/>
          <w:b/>
          <w:bCs/>
          <w:color w:val="000000"/>
          <w:sz w:val="24"/>
          <w:szCs w:val="24"/>
          <w:lang w:eastAsia="pt-BR"/>
        </w:rPr>
        <w:t>MODELO DE TERMO DE CONTRATO</w:t>
      </w:r>
    </w:p>
    <w:p>
      <w:pPr>
        <w:pStyle w:val="Normal"/>
        <w:spacing w:lineRule="auto" w:line="240" w:before="0" w:after="0"/>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Lei nº 14.133, de 1º de abril de 2021</w:t>
      </w:r>
    </w:p>
    <w:p>
      <w:pPr>
        <w:pStyle w:val="Normal"/>
        <w:spacing w:lineRule="auto" w:line="240" w:before="0" w:after="0"/>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br/>
      </w:r>
      <w:r>
        <w:rPr>
          <w:rFonts w:eastAsia="Times New Roman" w:cs="Times New Roman" w:ascii="Times New Roman" w:hAnsi="Times New Roman"/>
          <w:b/>
          <w:bCs/>
          <w:color w:val="000000"/>
          <w:sz w:val="24"/>
          <w:szCs w:val="24"/>
          <w:lang w:eastAsia="pt-BR"/>
        </w:rPr>
        <w:t>SERVIÇOS CONTÍNUOS COM DEDICAÇÃO DE MÃO DE OBRA - LICITAÇÃO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BASE DE ADMINISTRACAO E APOIO DO COMANDO MILITAR DO OESTE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Processo Administrativo n° 65325.0008578/2025-53</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480" w:before="0" w:after="360"/>
        <w:ind w:left="4820" w:hanging="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CONTRATO ADMINISTRATIVO Nº ____________________, QUE FAZEM ENTRE SI A UNIÃO, POR INTERMÉDIO DO (A) BASE DE ADMINISTRACAO E APOIO DO COMANDO MILITAR DO OESTE, E ____________________.</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A(O) União , por intermédio do(a) BASE DE ADMINISTRACAO E APOIO DO COMANDO MILITAR DO OESTE, com sede no(a) DUQUE DE CAXIAS, 1628, bairro AMAMBAI, na cidade de CAMPO GRANDE/MS, CEP 79100400, inscrito(a) no CNPJ sob o nº 09.559.304/0001-68, neste ato representado(a) por HUGO SÉRGIO DIAS AMARAL - Cel/R1, cargo Ordenador de Despesas, nomeado(a) pela Portaria nº BI Nr 9, de 12/01/2024, publicada no DOU em janeiro/2024 , portador da Matrícula Funcional nº 020335324-8, doravante denominado CONTRATANTE, e o(a) _______________________________________________________, inscrito(a) no CNPJ/MF sob o nº _________________________________________________, sediado(a) na ____________________________________________________, ____________________________________________________, bairro _______________________________________________________________________________________________, na cidade de ____________________________________________________/_______________________________________________________,CEP ____________________________________________________, doravante designado CONTRATADO, neste ato representado(a) por ______________________________________________________________________,  conforme _______________________________________________________, tendo em vista o que consta no Processo nº 65325.0008578/2025-53 e em observância às disposições da Lei nº 14.133, de 1º de abril de 2021, e demais legislação aplicável, resolvem celebrar o presente Termo de Contrato, decorrente do(a) Pregão nº 90002/2026, mediante as cláusulas e condições a seguir enunciadas.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PRIMEIRA - DO OBJETO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1.1. O objeto do presente instrumento é a contratação de serviço(s) contínuo(s) de O objeto da presente licitação é a Contratação de serviços de limpeza e conservação, com fornecimento de material, na forma de execução indireta e no regime de empreitada por preço global, conforme condições, quantidades e exigências estabelecidas, a fim de atender às necessidades de instalações do 3º Grupamento de Engenharia piso térreo e superior, quantidades e exigências estabelecidas neste instrumento e seus anexos, a serem executados com regime de dedicação exclusiva de mão de obra, nas condições estabelecidas no Termo de Referência.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1.2. Objeto da contratação:</w:t>
      </w:r>
    </w:p>
    <w:tbl>
      <w:tblPr>
        <w:tblW w:w="9900" w:type="dxa"/>
        <w:jc w:val="left"/>
        <w:tblInd w:w="-704" w:type="dxa"/>
        <w:tblLayout w:type="fixed"/>
        <w:tblCellMar>
          <w:top w:w="90" w:type="dxa"/>
          <w:left w:w="90" w:type="dxa"/>
          <w:bottom w:w="90" w:type="dxa"/>
          <w:right w:w="90" w:type="dxa"/>
        </w:tblCellMar>
        <w:tblLook w:firstRow="1" w:noVBand="1" w:lastRow="0" w:firstColumn="1" w:lastColumn="0" w:noHBand="0" w:val="04a0"/>
      </w:tblPr>
      <w:tblGrid>
        <w:gridCol w:w="660"/>
        <w:gridCol w:w="1617"/>
        <w:gridCol w:w="2288"/>
        <w:gridCol w:w="979"/>
        <w:gridCol w:w="1393"/>
        <w:gridCol w:w="1421"/>
        <w:gridCol w:w="1541"/>
      </w:tblGrid>
      <w:tr>
        <w:trPr>
          <w:tblHeader w:val="true"/>
        </w:trPr>
        <w:tc>
          <w:tcPr>
            <w:tcW w:w="660"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eastAsia="Times New Roman" w:cs="Times New Roman"/>
                <w:b/>
                <w:bCs/>
                <w:sz w:val="24"/>
                <w:szCs w:val="24"/>
                <w:lang w:eastAsia="pt-BR"/>
              </w:rPr>
            </w:pPr>
            <w:r>
              <w:rPr>
                <w:rFonts w:eastAsia="Times New Roman" w:cs="Times New Roman" w:ascii="Times New Roman" w:hAnsi="Times New Roman"/>
                <w:b/>
                <w:bCs/>
                <w:sz w:val="24"/>
                <w:szCs w:val="24"/>
                <w:lang w:eastAsia="pt-BR"/>
              </w:rPr>
              <w:t>Item</w:t>
            </w:r>
          </w:p>
        </w:tc>
        <w:tc>
          <w:tcPr>
            <w:tcW w:w="1617"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eastAsia="Times New Roman" w:cs="Times New Roman"/>
                <w:b/>
                <w:bCs/>
                <w:sz w:val="24"/>
                <w:szCs w:val="24"/>
                <w:lang w:eastAsia="pt-BR"/>
              </w:rPr>
            </w:pPr>
            <w:r>
              <w:rPr>
                <w:rFonts w:eastAsia="Times New Roman" w:cs="Times New Roman" w:ascii="Times New Roman" w:hAnsi="Times New Roman"/>
                <w:b/>
                <w:bCs/>
                <w:sz w:val="24"/>
                <w:szCs w:val="24"/>
                <w:lang w:eastAsia="pt-BR"/>
              </w:rPr>
              <w:t>Especificação</w:t>
            </w:r>
          </w:p>
        </w:tc>
        <w:tc>
          <w:tcPr>
            <w:tcW w:w="2288"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eastAsia="Times New Roman" w:cs="Times New Roman"/>
                <w:b/>
                <w:bCs/>
                <w:sz w:val="24"/>
                <w:szCs w:val="24"/>
                <w:lang w:eastAsia="pt-BR"/>
              </w:rPr>
            </w:pPr>
            <w:r>
              <w:rPr>
                <w:rFonts w:eastAsia="Times New Roman" w:cs="Times New Roman" w:ascii="Times New Roman" w:hAnsi="Times New Roman"/>
                <w:b/>
                <w:bCs/>
                <w:sz w:val="24"/>
                <w:szCs w:val="24"/>
                <w:lang w:eastAsia="pt-BR"/>
              </w:rPr>
              <w:t>CATSER/CATMAT</w:t>
            </w:r>
          </w:p>
        </w:tc>
        <w:tc>
          <w:tcPr>
            <w:tcW w:w="979"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eastAsia="Times New Roman" w:cs="Times New Roman"/>
                <w:b/>
                <w:bCs/>
                <w:sz w:val="24"/>
                <w:szCs w:val="24"/>
                <w:lang w:eastAsia="pt-BR"/>
              </w:rPr>
            </w:pPr>
            <w:r>
              <w:rPr>
                <w:rFonts w:eastAsia="Times New Roman" w:cs="Times New Roman" w:ascii="Times New Roman" w:hAnsi="Times New Roman"/>
                <w:b/>
                <w:bCs/>
                <w:sz w:val="24"/>
                <w:szCs w:val="24"/>
                <w:lang w:eastAsia="pt-BR"/>
              </w:rPr>
              <w:t>Un. Medida</w:t>
            </w:r>
          </w:p>
        </w:tc>
        <w:tc>
          <w:tcPr>
            <w:tcW w:w="1393"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eastAsia="Times New Roman" w:cs="Times New Roman"/>
                <w:b/>
                <w:bCs/>
                <w:sz w:val="24"/>
                <w:szCs w:val="24"/>
                <w:lang w:eastAsia="pt-BR"/>
              </w:rPr>
            </w:pPr>
            <w:r>
              <w:rPr>
                <w:rFonts w:eastAsia="Times New Roman" w:cs="Times New Roman" w:ascii="Times New Roman" w:hAnsi="Times New Roman"/>
                <w:b/>
                <w:bCs/>
                <w:sz w:val="24"/>
                <w:szCs w:val="24"/>
                <w:lang w:eastAsia="pt-BR"/>
              </w:rPr>
              <w:t>Quantidade</w:t>
            </w:r>
          </w:p>
        </w:tc>
        <w:tc>
          <w:tcPr>
            <w:tcW w:w="1421"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eastAsia="Times New Roman" w:cs="Times New Roman"/>
                <w:b/>
                <w:bCs/>
                <w:sz w:val="24"/>
                <w:szCs w:val="24"/>
                <w:lang w:eastAsia="pt-BR"/>
              </w:rPr>
            </w:pPr>
            <w:r>
              <w:rPr>
                <w:rFonts w:eastAsia="Times New Roman" w:cs="Times New Roman" w:ascii="Times New Roman" w:hAnsi="Times New Roman"/>
                <w:b/>
                <w:bCs/>
                <w:sz w:val="24"/>
                <w:szCs w:val="24"/>
                <w:lang w:eastAsia="pt-BR"/>
              </w:rPr>
              <w:t>Valor Un</w:t>
            </w:r>
          </w:p>
        </w:tc>
        <w:tc>
          <w:tcPr>
            <w:tcW w:w="1541" w:type="dxa"/>
            <w:tcBorders>
              <w:top w:val="single" w:sz="4" w:space="0" w:color="000000"/>
              <w:left w:val="single" w:sz="4" w:space="0" w:color="000000"/>
              <w:bottom w:val="single" w:sz="4" w:space="0" w:color="000000"/>
              <w:right w:val="single" w:sz="4" w:space="0" w:color="000000"/>
            </w:tcBorders>
            <w:shd w:color="auto" w:fill="F2F2F2" w:val="clear"/>
            <w:vAlign w:val="center"/>
          </w:tcPr>
          <w:p>
            <w:pPr>
              <w:pStyle w:val="Normal"/>
              <w:widowControl w:val="false"/>
              <w:spacing w:lineRule="auto" w:line="240" w:before="0" w:after="0"/>
              <w:jc w:val="center"/>
              <w:rPr>
                <w:rFonts w:ascii="Times New Roman" w:hAnsi="Times New Roman" w:eastAsia="Times New Roman" w:cs="Times New Roman"/>
                <w:b/>
                <w:bCs/>
                <w:sz w:val="24"/>
                <w:szCs w:val="24"/>
                <w:lang w:eastAsia="pt-BR"/>
              </w:rPr>
            </w:pPr>
            <w:r>
              <w:rPr>
                <w:rFonts w:eastAsia="Times New Roman" w:cs="Times New Roman" w:ascii="Times New Roman" w:hAnsi="Times New Roman"/>
                <w:b/>
                <w:bCs/>
                <w:sz w:val="24"/>
                <w:szCs w:val="24"/>
                <w:lang w:eastAsia="pt-BR"/>
              </w:rPr>
              <w:t>Valor Tot</w:t>
            </w:r>
          </w:p>
        </w:tc>
      </w:tr>
      <w:tr>
        <w:trPr/>
        <w:tc>
          <w:tcPr>
            <w:tcW w:w="660" w:type="dxa"/>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1</w:t>
            </w:r>
          </w:p>
        </w:tc>
        <w:tc>
          <w:tcPr>
            <w:tcW w:w="1617" w:type="dxa"/>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Serviço de Limpeza e Conservação</w:t>
            </w:r>
          </w:p>
        </w:tc>
        <w:tc>
          <w:tcPr>
            <w:tcW w:w="2288" w:type="dxa"/>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25194</w:t>
            </w:r>
          </w:p>
        </w:tc>
        <w:tc>
          <w:tcPr>
            <w:tcW w:w="979" w:type="dxa"/>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mensal</w:t>
            </w:r>
          </w:p>
        </w:tc>
        <w:tc>
          <w:tcPr>
            <w:tcW w:w="1393" w:type="dxa"/>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12</w:t>
            </w:r>
          </w:p>
        </w:tc>
        <w:tc>
          <w:tcPr>
            <w:tcW w:w="1421" w:type="dxa"/>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R$ 5.560,09</w:t>
            </w:r>
          </w:p>
        </w:tc>
        <w:tc>
          <w:tcPr>
            <w:tcW w:w="1541" w:type="dxa"/>
            <w:tcBorders>
              <w:top w:val="single" w:sz="4" w:space="0" w:color="000000"/>
              <w:left w:val="single" w:sz="4" w:space="0" w:color="000000"/>
              <w:bottom w:val="single" w:sz="4" w:space="0" w:color="000000"/>
              <w:right w:val="single" w:sz="4" w:space="0" w:color="000000"/>
            </w:tcBorders>
            <w:tcMar>
              <w:top w:w="120" w:type="dxa"/>
              <w:left w:w="120" w:type="dxa"/>
              <w:bottom w:w="120" w:type="dxa"/>
              <w:right w:w="120" w:type="dxa"/>
            </w:tcMar>
            <w:vAlign w:val="center"/>
          </w:tcPr>
          <w:p>
            <w:pPr>
              <w:pStyle w:val="Normal"/>
              <w:widowControl w:val="false"/>
              <w:spacing w:lineRule="auto" w:line="240" w:before="0" w:after="0"/>
              <w:jc w:val="center"/>
              <w:rPr>
                <w:rFonts w:ascii="Times New Roman" w:hAnsi="Times New Roman" w:eastAsia="Times New Roman" w:cs="Times New Roman"/>
                <w:sz w:val="24"/>
                <w:szCs w:val="24"/>
                <w:lang w:eastAsia="pt-BR"/>
              </w:rPr>
            </w:pPr>
            <w:r>
              <w:rPr>
                <w:rFonts w:eastAsia="Times New Roman" w:cs="Times New Roman" w:ascii="Times New Roman" w:hAnsi="Times New Roman"/>
                <w:sz w:val="24"/>
                <w:szCs w:val="24"/>
                <w:lang w:eastAsia="pt-BR"/>
              </w:rPr>
              <w:t>R$ 66.721,11</w:t>
            </w:r>
          </w:p>
        </w:tc>
      </w:tr>
    </w:tbl>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 Vinculam esta contratação, independentemente de transcrição: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 O Termo de Referência;</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1.3.2. O Edital da Licitação;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1.3.3. A Proposta do CONTRATADO;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1.3.4. Eventuais anexos dos documentos supracitados.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SEGUNDA – VIGÊNCIA E PRORROGAÇÃO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2.1. O prazo de vigência da contratação é de 12 mes(es) contados da assinatura do contrato, prorrogável sucessivamente por até 10 anos, na forma dos artigos 106 e 107 da Lei n° 14.133, de 2021.</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2.2. 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2.2.1. Estar formalmente demonstrado no processo que a forma de prestação tem natureza continuada;</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2.2.2. Seja juntado relatório que discorra sobre a execução do contrato, com a informação de que o objeto tenha sido prestado regularmente;</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2.2.3. Seja juntada justificativa e motivo, por escrito, de que a Administração mantém interesse na realização do objeto;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2.2.4. Haja manifestação expressa do CONTRATADO informando o interesse na prorrogação;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2.2.5. Seja comprovado que o CONTRATADO mantém as condições iniciais de habilitação; e</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2.2.6. Não haja registro no Cadastro Informativo de créditos não quitados do setor público federal (Cadin).</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2.3. O CONTRATADO não tem direito subjetivo à prorrogação contratual.</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2.4. A prorrogação de contrato deverá ser promovida mediante celebração de termo aditivo.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2.5. Nas eventuais prorrogações contratuais, os custos não renováveis já pagos ou amortizados ao longo do primeiro período de vigência da contratação deverão ser reduzidos ou eliminados como condição para a renovação.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2.6. O contrato não poderá ser prorrogado quando o CONTRATADO tiver sido penalizado nas sanções de declaração de inidoneidade ou impedimento de licitar e contratar com poder público, observadas as abrangências de aplicação.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2.7. 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TERCEIRA – MODELOS DE EXECUÇÃO E GESTÃO CONTRATUAIS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3.1. O regime de execução contratual, os modelos de gestão e de execução, assim como os prazos e condições de conclusão, entrega, observação e recebimento do objeto constam no Termo de Referência, anexo a este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QUARTA – SUBCONTRATAÇÃO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4.1. As regras sobre a subcontratação do objeto são aquelas estabelecidas no Termo de Referência, anexo a este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QUINTA – PREÇO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5.1 O valor mensal da contratação é de R$ 5.560,09 (cinco mil quinhentos e sessenta reais e nove centavos), perfazendo o valor total de R$ 66.721,11 (sessenta e seis mil setecentos e vinte e um reais e onze centavos).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5.3 O valor acima é meramente estimativo, de forma que os pagamentos devidos ao CONTRATADO dependerão dos quantitativos efetivamente fornecidos.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SEXTA - PAGAMENTO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6.1. O prazo para pagamento ao CONTRATADO e demais condições a ele referentes, inclusive quanto à utilização da Conta-Depósito Vinculada - bloqueada para movimentação ou do Pagamento pelo Fato Gerador, encontram-se definidos no Termo de Referência, anexo a este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SÉTIMA – REPACTUAÇÃO DOS PREÇOS CONTRATADOS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7.1. As regras acerca da repactuação dos preços contratados são aquelas definidas no Termo de Referência, anexo a este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OITAVA - OBRIGAÇÕES DO CONTRATANTE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 São obrigações do CONTRATANTE:</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8.1.1. Exigir o cumprimento de todas as obrigações assumidas pelo CONTRATADO, de acordo com o contrato e seus anexos;</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8.1.2. Receber o objeto no prazo e condições estabelecidas no Termo de Referência;</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8.1.3.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8.1.4. Acompanhar e fiscalizar a execução do contrato e o cumprimento das obrigações pelo CONTRATADO;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8.1.5.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8.1.6. Efetuar o pagamento ao CONTRATADO do valor correspondente à execução ao fornecimento do objeto, no prazo, forma e condições estabelecidos no presente Contrato e no Termo de Referência;</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8.1.7. Aplicar ao CONTRATADO as sanções previstas na lei e neste Contrato;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8.1.8. Não praticar atos de ingerência na administração do CONTRATADO, tais como:</w:t>
      </w:r>
    </w:p>
    <w:p>
      <w:pPr>
        <w:pStyle w:val="Normal"/>
        <w:spacing w:lineRule="atLeast" w:line="288" w:before="0" w:after="48"/>
        <w:ind w:firstLine="851"/>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8.1.8.1. indicar pessoas expressamente nominadas para executar direta ou indiretamente o objeto CONTRATADO;</w:t>
      </w:r>
    </w:p>
    <w:p>
      <w:pPr>
        <w:pStyle w:val="Normal"/>
        <w:spacing w:lineRule="atLeast" w:line="288" w:before="0" w:after="48"/>
        <w:ind w:firstLine="851"/>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8.1.8.2. fixar salário inferior ao definido em lei ou em ato normativo a ser pago pelo CONTRATADO;</w:t>
      </w:r>
    </w:p>
    <w:p>
      <w:pPr>
        <w:pStyle w:val="Normal"/>
        <w:spacing w:lineRule="atLeast" w:line="288" w:before="0" w:after="48"/>
        <w:ind w:firstLine="851"/>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8.1.8.3. estabelecer vínculo de subordinação com funcionário do CONTRATADO;</w:t>
      </w:r>
    </w:p>
    <w:p>
      <w:pPr>
        <w:pStyle w:val="Normal"/>
        <w:spacing w:lineRule="atLeast" w:line="288" w:before="0" w:after="48"/>
        <w:ind w:firstLine="851"/>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8.1.8.4. definir forma de pagamento mediante exclusivo reembolso dos salários pagos;</w:t>
      </w:r>
    </w:p>
    <w:p>
      <w:pPr>
        <w:pStyle w:val="Normal"/>
        <w:spacing w:lineRule="atLeast" w:line="288" w:before="0" w:after="48"/>
        <w:ind w:firstLine="851"/>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8.1.8.5. demandar a funcionário do CONTRATADO a execução de tarefas fora do escopo do objeto da contratação; e</w:t>
      </w:r>
    </w:p>
    <w:p>
      <w:pPr>
        <w:pStyle w:val="Normal"/>
        <w:spacing w:lineRule="atLeast" w:line="288" w:before="0" w:after="48"/>
        <w:ind w:firstLine="851"/>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8.1.8.6. prever exigências que constituam intervenção indevida da Administração na gestão interna do CONTRATADO.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8.1.9. Cientificar o órgão de representação judicial da Advocacia-Geral da União para adoção das medidas cabíveis quando do descumprimento de obrigações pelo CONTRATADO;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8.1.10.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tLeast" w:line="288" w:before="0" w:after="48"/>
        <w:ind w:firstLine="851"/>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8.1.10.1. A Administração terá o prazo de 30 (trinta) dias, a contar da data do protocolo do requerimento para decidir, admitida a prorrogação motivada, por igual período.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8.1.11. Responder eventuais pedidos de reestabelecimento do equilíbrio econômico-financeiro feitos pelo CONTRATADO no prazo máximo de 30 (trinta) dias;</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8.1.12. Notificar os emitentes das garantias quanto ao início de processo administrativo para apuração de descumprimento de cláusulas contratuais.</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8.1.13. Comunicar o CONTRATADO na hipótese de posterior alteração do projeto pelo CONTRATANTE, no caso do art. 93, §2º, da Lei nº 14.133, de 2021;</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NONA - OBRIGAÇÕES DO CONTRATADO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 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 Atender às determinações regulares emitidas pelo fiscal ou gestor do contrato ou autoridade superior e prestar todo esclarecimento ou informação por eles solicitados;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 Reparar, corrigir, remover, reconstruir ou substituir, às suas expensas, no total ou em parte, no prazo fixado pelo fiscal do contrato, os bens e serviços nos quais se verificarem vícios, defeitos ou incorreções resultantes da execução ou dos materiais empregados;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9.5.1. prova de regularidade relativa à Seguridade Social;</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9.5.2. certidão conjunta relativa aos tributos federais e à Dívida Ativa da União;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9.5.3. certidões que comprovem a regularidade perante a Fazenda Municipal ou Distrital do domicílio ou sede do CONTRATADO ;</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9.5.4. Certidão de Regularidade do FGTS – CRF; e</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9.5.5. Certidão Negativa de Débitos Trabalhistas – CNDT.</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9.6. 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9.7. Comunicar ao Fiscal do contrato tempestivamente, observada a urgência da situação, qualquer ocorrência anormal ou acidente que se verifique no local da execução do objeto contratual, não ultrapassando o prazo de 24 (vinte e quatro) horas;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9.8. Paralisar, por determinação do CONTRATANTE, qualquer atividade que não esteja sendo executada de acordo com a boa técnica ou que ponha em risco a segurança de pessoas ou bens de terceiros;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9.9. Manter durante toda a vigência do contrato, em compatibilidade com as obrigações assumidas, todas as condições exigidas para habilitação na licitação;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9.10. Cumprir, durante todo o período de execução do contrato, a reserva de cargos prevista em lei para pessoa com deficiência, para reabilitado da Previdência Social ou para aprendiz, bem como as reservas de cargos previstas na legislação;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9.11. Comprovar a reserva de cargos a que se refere a cláusula acima, no prazo fixado pelo fiscal do contrato, com a indicação dos empregados que preencheram as referidas vagas;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9.12. Guardar sigilo sobre todas as informações obtidas em decorrência do cumprimento do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9.13.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9.14. Cumprir, além dos postulados legais vigentes de âmbito federal, estadual ou municipal, as normas de segurança do CONTRATANTE;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9.15. Alocar os empregados necessários ao perfeito cumprimento das cláusulas deste contrato, com habilitação e conhecimento adequados;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9.16. Prestar os serviços dentro dos parâmetros e rotinas estabelecidos;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9.17. Fornecer todos os materiais, equipamentos, ferramentas e utensílios demandados, em quantidade, qualidade e tecnologia adequadas, com a observância às recomendações aceitas pela boa técnica, normas e legislação de regência;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9.18. Conduzir os trabalhos com estrita observância às normas da legislação pertinente, cumprindo as determinações dos Poderes Públicos, mantendo sempre limpo o local de execução do objeto e nas melhores condições de segurança, higiene e disciplina;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9.19. Submeter previamente, por escrito, ao CONTRATANTE, para análise e aprovação, quaisquer mudanças nos métodos executivos que fujam às especificações do memorial descritivo ou instrumento congênere;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9.20. Cumprir as normas de proteção ao trabalho, inclusive aquelas relativas à segurança e à saúde no trabalho;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9.21. Não submeter os trabalhadores a condições degradantes de trabalho, jornadas exaustivas, servidão por dívida ou trabalhos forçados;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9.22. Não permitir a utilização de qualquer trabalho do menor de dezesseis anos de idade, exceto na condição de aprendiz para os maiores de quatorze anos de idade, observada a legislação pertinente;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9.23.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9.24. Receber e dar o tratamento adequado a denúncias de discriminação, violência e assédio no ambiente de trabalho;</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9.25. Manter preposto aceito pela Administração no local da obra ou do serviço para representá-lo na execução do contrato;</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9.25.1. A indicação ou a manutenção do preposto da empresa poderá ser recusada pelo órgão ou entidade, desde que devidamente justificada, devendo a empresa designar outro para o exercício da atividade.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9.26. 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9.27. Prestar todo esclarecimento ou informação solicitada pelo CONTRATANTE ou por seus prepostos, garantindo-lhes o acesso, a qualquer tempo, ao local dos trabalhos, bem como aos documentos relativos à execução do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9.28. Promover a guarda, manutenção e vigilância de materiais, ferramentas, e tudo o que for necessário à execução do objeto, durante a vigência do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9.29. Assegurar aos seus trabalhadores ambiente de trabalho e instalações em condições adequadas ao cumprimento das normas de saúde, segurança e bem-estar no trabalho;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9.30. Fornecer equipamentos de proteção individual (EPI) e equipamentos de proteção coletiva (EPC), quando for o caso;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9.31. Garantir o acesso do CONTRATANTE, a qualquer tempo, ao local dos trabalhos, bem como aos documentos relativos à execução do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9.32. Promover a organização técnica e administrativa dos serviços, de modo a conduzi-los eficaz e eficientemente, de acordo com os documentos e especificações que integram o Termo de Referência, no prazo determinado;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9.33. Vedar a utilização, na execução dos serviços, de empregado que seja familiar de agente público ocupante de cargo em comissão ou função de confiança no órgão contratante, nos termos do artigo 7° do Decreto n° 7.203, de 2010;</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9.34. Instruir seus empregados quanto à necessidade de acatar as normas internas da Administração;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9.35. Instruir seus empregados a respeito das atividades a serem desempenhadas, alertando-os a não executarem atividades não abrangidas pelo contrato, devendo o CONTRATADO relatar ao CONTRATANTE toda e qualquer ocorrência neste sentido, a fim de evitar desvio de função;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9.36. Disponibilizar ao CONTRATANTE os empregados devidamente uniformizados e identificados por meio de crachá, além de provê-los com os Equipamentos de Proteção Individual - EPI, quando for o caso;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9.37. Fornecer os uniformes a serem utilizados por seus empregados, conforme disposto no Termo de Referência, sem repassar quaisquer custos a estes;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9.38. Apresentar relação mensal dos empregados que expressamente optarem por não receber o vale-transporte;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9.39. 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do CONTRATANTE. Em caso de impossibilidade de cumprimento desta disposição, o CONTRATADO deverá apresentar justificativa, a fim de que a Administração analise sua plausibilidade e possa verificar a realização do pagamento.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9.40. 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9.41. Realizar o planejamento das férias dos colaboradores terceirizados, desde o início do contrato administrativo, a fim de viabilizar a previsibilidade das férias, estabelecida no inciso I do art. 3º do Decreto n.º 12.174, de 11 de setembro de 2024, e permitir o acompanhamento pela fiscalização do contrato, observando integralmente o disposto na Instrução Normativa Seges/MGI nº 213, de 29 de maio de 2025;</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9.42. Desenvolver e implementar políticas institucionais de enfrentamento do assédio e da discriminação em suas relações de trabalho e na sua gestão, observando as diretrizes estabelecidas na Portaria MGI nº 6.719, de 13 de setembro de 2024, e promovendo práticas respeitosas e humanizadas no ambiente laboral;</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9.43. Implementar ações de formação e capacitação para todas as suas empregadas e empregados sobre prevenção e combate ao assédio moral, sexual e à discriminação, garantindo ambiente de trabalho seguro e respeitoso;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9.44. Estabelecer canais de denúncia e procedimentos claros para recebimento, apuração e tratamento de casos de assédio e discriminação, assegurando a proteção dos denunciantes contra retaliações;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9.45. Promover a divulgação das políticas de combate ao assédio e discriminação para todos os trabalhadores alocados na execução contratual, mediante campanhas educativas e informativos específicos;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9.46. Apresentar ao CONTRATANTE, quando solicitado, relatórios sobre as medidas adotadas e os resultados alcançados na implementação das políticas de enfrentamento ao assédio e discriminação;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9.47. Comunicar ao CONTRATANTE, no prazo máximo de 48 (quarenta e oito) horas, qualquer ocorrência de assédio ou discriminação envolvendo trabalhadores alocados na execução contratual, informando as medidas adotadas para apuração e correção;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9.48. Garantir que as políticas de combate ao assédio e discriminação sejam extensivas a eventuais subcontratados, quando permitida a subcontratação.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9.49. Não permitir que o empregado designado para trabalhar em um turno preste seus serviços no turno imediatamente subsequente;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9.50. 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9.51. Instruir seus empregados, no início da execução contratual, quanto à obtenção das informações de seus interesses junto aos órgãos públicos, relativas ao contrato de trabalho e obrigações a ele inerentes, adotando, entre outras, as seguintes medidas:</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9.51.1. 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9.51.2. Viabilizar a emissão do cartão cidadão pela Caixa Econômica Federal para todos os empregados, no prazo máximo de 60 (sessenta) dias, contados do início da prestação dos serviços ou da admissão do empregado;</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9.51.3. Oferecer todos os meios necessários aos seus empregados para a obtenção de extratos de recolhimentos de seus direitos sociais, preferencialmente por meio eletrônico, quando disponível.</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9.52. Não se beneficiar da condição de optante pelo Simples Nacional, salvo quando se tratar das exceções previstas no § 5º-C do art. 18 da Lei Complementar nº 123, de 14 de dezembro de 2006;</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9.53. 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9.53.1. Para efeito de comprovação da comunicação, o CONTRATADO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9.54. Nos casos em que haja um número mínimo de vinte e cinco colaboradores alocados no contrato, destinar 8% das vagas exclusivamente para mulheres vítimas de violência doméstica;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9.55. Considerando que se trata de contrato com número inferior a vinte e cinco colaboradores, a previsão do percentual para o emprego de mão de obra constituída por mulheres vítimas de violência doméstica será de 8% (oito virgula zero por cento).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9.55.1. As vagas serão destinadas às mulheres indicadas pelas unidades responsáveis pela política pública, signatárias do acordo de adesão de que trata o art. 4º do Decreto nº 11.430, de 2023, vedada a exigência, pelas empresas contratadas e pelos órgãos contratantes, de apresentação, pelas candidatas, de quaisquer outros documentos para ﬁns de comprovação da situação de violência.</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9.55.2. Sempre que houver um desligamento, o CONTRATADO deverá buscar atender ao percentual mínimo de 8% (oito virgula zero por cento) com a nova contratação.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9.55.3. Se não houver mulheres elegíveis em número suficiente para preencher as vagas reservadas, a empresa poderá contratar livremente.</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9.55.4. Para cálculo do percentual de vagas reservadas serão considerados todos os empregados alocados no contrato, incluindo folguistas e substitutos.</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9.55.5. O percentual de mão-de-obra de que trata este item deverá ser mantido durante toda a execução contratual, ressalvado o subitem 9.55.3.</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9.55.6. O CONTRATADO deve manter o sigilo da condição de violência doméstica da profissional que será alocada para a prestação do serviço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9.56. Manter, durante toda a vigência do contrato, capital social integralizado compatível com o número de empregados, na forma do art. 4º-B da Lei nº 6.019/1974, apresentando, quando solicitada, a respectiva documentação comprobatória, no prazo fixado pela fiscalização contratual.</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9.57 Nos termos da Lei n° 12.305, de 2010, do Decreto nº 10.936, de 2022, e da Instrução Normativa SLTI/MPOG n° 1, de 19/01/2010, a contratada deverá adotar as seguintes providências: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a) realizar o adequado acondicionamento dos resíduos recicláveis descartados pela Administração.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a.1) os resíduos sólidos reutilizáveis e recicláveis devem ser acondicionados adequadamente e de forma diferenciada, para fins de disponibilização ao sistema de coleta seletiva ou logística reversa porventura estabelecido.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b) otimizar a utilização de recursos e a redução de desperdícios e de poluição, através das seguintes medidas, dentre outras: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b.1) racionalizar o uso de substâncias potencialmente tóxicas ou poluentes;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b.2) substituir as substâncias tóxicas por outras atóxicas ou de menor toxicidade;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b.3) usar produtos de limpeza e conservação de superfícies e objetos inanimados que obedeçam às classificações e especificações determinadas pela ANVISA;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b.4) racionalizar o consumo de energia (especialmente elétrica) e adotar medidas para evitar o desperdício de água tratada;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b.5) 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b.6) treinar e capacitar periodicamente os empregados em boas práticas de redução de desperdícios e poluição;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c) utilizar lavagem com água de reuso ou outras fontes, sempre que possível (águas de chuva, poços cuja água seja certificada de não contaminação por metais pesados ou agentes bacteriológicos, minas e outros);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d) observar a Resolução CONAMA nº 20, de 7/12/1994, e legislação correlata, quanto aos equipamentos de limpeza que gerem ruído no seu funcionamento;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e) fornecer aos empregados os equipamentos de segurança que se fizerem necessários, para a execução de serviços;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f) respeitar as Normas Brasileiras - NBR publicadas pela Associação Brasileira de Normas Técnicas sobre resíduos sólidos;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g) desenvolver ou adotar manuais de procedimentos de descarte de materiais potencialmente poluidores, dentre os quais: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g.1) 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g.2) lâmpadas fluorescentes e frascos de aerossóis em geral devem ser separados e acondicionados em recipientes adequados para destinação específica;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g.3) pneumáticos inservíveis devem ser encaminhados aos fabricantes para destinação final, ambientalmente adequada, conforme disciplina normativa vigente.</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xml:space="preserve">9.58 Os termos presentes no item 19 - Limpeza e Conservação (serviços), do Guia Nacional de Contratações Sustentáveis, estão presentes no Estudo Técnico Preliminar </w:t>
      </w:r>
      <w:r>
        <w:rPr>
          <w:rFonts w:eastAsia="Times New Roman" w:cs="Times New Roman" w:ascii="Times New Roman" w:hAnsi="Times New Roman"/>
          <w:color w:val="000000"/>
          <w:sz w:val="24"/>
          <w:szCs w:val="24"/>
          <w:lang w:eastAsia="pt-BR"/>
        </w:rPr>
        <w:t>no item 4.11</w:t>
      </w:r>
      <w:r>
        <w:rPr>
          <w:rFonts w:eastAsia="Times New Roman" w:cs="Times New Roman" w:ascii="Times New Roman" w:hAnsi="Times New Roman"/>
          <w:color w:val="000000"/>
          <w:sz w:val="24"/>
          <w:szCs w:val="24"/>
          <w:lang w:eastAsia="pt-BR"/>
        </w:rPr>
        <w:t>.</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CLAÚSULA DÉCIMA - DA COMPENSAÇÃO DA JORNADA DE TRABALHO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10.1. A compensação de jornada dos trabalhadores do CONTRATADO alocados à execução contratual em regime de dedicação exclusiva, quando compatível com a natureza dos serviços prestados, será realizada de acordo com as regras constantes do Decreto n.º 12.174, de 11 de setembro de 2024, da Instrução Normativa SEGES/MGI nº 81, de 12 de setembro de 2024, e do Termo de Referência, anexo a este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DÉCIMA PRIMEIRA– GARANTIA DE EXECUÇÃO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11.1. Será exigida a prestação de garantia na presente contratação, conforme regras constantes do Termo de Referência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DÉCIMA SEGUNDA – INFRAÇÕES E SANÇÕES ADMINISTRATIVAS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12.1. As regras acerca de infrações e sanções administrativas referentes à execução do contrato são aquelas definidas no Termo de Referência, anexo a este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DÉCIMA TERCEIRA – DA EXTINÇÃO CONTRATUAL</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 O contrato poderá ser extinto antes do prazo nele fixado, sem ônus para o CONTRATANTE, mediante justificativa formal de que não dispõe de créditos orçamentários para sua continuidade ou de que o contrato não mais lhe oferece vantagem.</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13.1.1. Nesse caso, a extinção antecipada ocorrerá na próxima data de aniversário do contrato, garantido um prazo mínimo de dois meses para ciência formal do contratado, devendo ser observada a regra do art. 183 da Lei nº 14.133, de 2021 para a contagem deste prazo.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13.2. O contrato poderá ser extinto com fundamento na ausência de créditos orçamentários ou na perda de vantagem contratual antes da data de aniversário, desde que ocorra com ônus para o CONTRATANTE, conforme previsto no art. 138, §2º, da Lei nº 14.133, de 2021.</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13.3. O contrato poderá ser extinto antes de cumpridas as obrigações nele estipuladas, ou antes do prazo nele fixado, por algum dos motivos previstos no artigo 137 da Lei nº 14.133, de 2021, bem como amigavelmente, assegurados o contraditório e a ampla defesa.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13.4. Nesta hipótese, aplicam-se também os artigos 138 e 139 da mesma Lei.</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13.5. A alteração social ou a modificação da finalidade ou da estrutura da empresa não ensejará a extinção se não restringir sua capacidade de concluir 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13.6. Se a operação implicar mudança da pessoa jurídica contratada, deverá ser formalizado termo aditivo para alteração subjetiva.</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13.7. O termo de extinção, sempre que possível, será precedido: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13.7.1. Do balanço dos eventos contratuais já cumpridos ou parcialmente cumpridos;</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13.7.2. Da relação dos pagamentos já efetuados e ainda devidos;</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13.7.3. Das indenizações e multas.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13.8. A extinção do contrato não configura óbice para o reconhecimento do desequilíbrio econômico-financeiro, hipótese em que será concedida indenização por meio de termo indenizatório.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13.9. 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13.10. O CONTRATANTE poderá conceder prazo para que o CONTRATADO regularize suas obrigações trabalhistas ou suas condições de habilitação, sob pena de extinção contratual, quando não identificar má-fé ou a incapacidade de correção.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13.11. 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13.12. Até que o CONTRATADO comprove o disposto no item anterior, o CONTRATANTE reterá:</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13.12.1. 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13.12.2. os valores das Notas fiscais ou Faturas correspondentes em valor proporcional ao inadimplemento, até que a situação seja regularizada.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13.13. 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pPr>
        <w:pStyle w:val="Normal"/>
        <w:spacing w:lineRule="atLeast" w:line="288" w:before="0" w:after="0"/>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13.14. O CONTRATANTE poderá ainda:</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13.14.1. nos casos de obrigação de pagamento de multa pelo CONTRATADO, reter a garantia prestada a ser executada, conforme legislação que rege a matéria; e</w:t>
      </w:r>
    </w:p>
    <w:p>
      <w:pPr>
        <w:pStyle w:val="Normal"/>
        <w:spacing w:lineRule="atLeast" w:line="288" w:before="0" w:after="240"/>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13.14.2. nos casos em que houver necessidade de ressarcimento de prejuízos causados à Administração, nos termos do inciso IV do art. 139 da Lei n.º 14.133, de 2021, reter os eventuais créditos existentes em favor do CONTRATADO decorrentes do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13.15.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13.16. 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DÉCIMA QUARTA – ALTERAÇÕES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14.1. Eventuais alterações contratuais reger-se-ão pela disciplina dos arts. 124 e seguintes da Lei nº 14.133, de 2021.</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14.2. O CONTRATADO é obrigado a aceitar, nas mesmas condições contratuais, os acréscimos ou supressões que se fizerem necessários, até o limite de 25% (vinte e cinco por cento) do valor inicial atualizado do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14.3. As supressões resultantes de acordo celebrado entre as partes contratantes poderão exceder o limite de 25% (vinte e cinco por cento) do valor inicial atualizado do contrato.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14.4.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14.5. Registros que não caracterizam alteração do contrato podem ser realizados por simples apostila, dispensada a celebração de termo aditivo, na forma do art. 136 da Lei nº 14.133, de 2021.</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DÉCIMA QUINTA – DOTAÇÃO ORÇAMENTÁRIA</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15.1. As despesas decorrentes da presente contratação correrão à conta de recursos específicos consignados no Orçamento Geral da União deste exercício, na dotação abaixo discriminada:</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I) Gestão/unidade: 160073;</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II) Fonte de recursos: 0100000000;</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III) Programa de trabalho: 171460;</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IV) Elemento de despesa: 339037.02;</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V) Plano interno: I3DACNTLICO;</w:t>
      </w:r>
    </w:p>
    <w:p>
      <w:pPr>
        <w:pStyle w:val="Normal"/>
        <w:spacing w:lineRule="atLeast" w:line="288" w:before="0" w:after="48"/>
        <w:ind w:firstLine="567"/>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VI) Nota de empenho: xxxxxxxx;</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15.2. A dotação relativa aos exercícios financeiros subsequentes será indicada após aprovação da Lei Orçamentária respectiva e liberação dos créditos correspondentes, mediante apostilamento.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DÉCIMA SEXTA – DOS CASOS OMISSOS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16.1.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DÉCIMA SÉTIMA – PUBLICAÇÃO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b/>
          <w:bCs/>
          <w:color w:val="000000"/>
          <w:sz w:val="24"/>
          <w:szCs w:val="24"/>
          <w:lang w:eastAsia="pt-BR"/>
        </w:rPr>
        <w:t>CLÁUSULA DÉCIMA OITAVA – FORO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18.1. Fica eleito o Foro da Justiça Federal em Campo Grande, Seção Judiciária de Mato Grosso do Sul, para dirimir os litígios que decorrerem da execução deste Termo de Contrato que não puderem ser compostos pela conciliação, conforme art. 92, §1º, da Lei nº 14.133, de 2021.</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w:t>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BASE DE ADMINISTRACAO E APOIO DO COMANDO MILITAR DO OESTE</w:t>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HUGO SÉRGIO DIAS AMARAL - Cel/R1</w:t>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Ordenador de Despesas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w:t>
      </w:r>
    </w:p>
    <w:p>
      <w:pPr>
        <w:pStyle w:val="Normal"/>
        <w:spacing w:lineRule="atLeast" w:line="288" w:before="0" w:after="48"/>
        <w:jc w:val="center"/>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Representante legal do CONTRATADO</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TESTEMUNHAS</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1-</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 </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t>2-</w:t>
      </w:r>
    </w:p>
    <w:p>
      <w:pPr>
        <w:pStyle w:val="Normal"/>
        <w:spacing w:lineRule="atLeast" w:line="288" w:before="0" w:after="48"/>
        <w:jc w:val="both"/>
        <w:rPr>
          <w:rFonts w:ascii="Times New Roman" w:hAnsi="Times New Roman" w:eastAsia="Times New Roman" w:cs="Times New Roman"/>
          <w:color w:val="000000"/>
          <w:sz w:val="24"/>
          <w:szCs w:val="24"/>
          <w:lang w:eastAsia="pt-BR"/>
        </w:rPr>
      </w:pPr>
      <w:r>
        <w:rPr>
          <w:rFonts w:eastAsia="Times New Roman" w:cs="Times New Roman" w:ascii="Times New Roman" w:hAnsi="Times New Roman"/>
          <w:color w:val="000000"/>
          <w:sz w:val="24"/>
          <w:szCs w:val="24"/>
          <w:lang w:eastAsia="pt-BR"/>
        </w:rPr>
      </w:r>
    </w:p>
    <w:sectPr>
      <w:footerReference w:type="default" r:id="rId2"/>
      <w:type w:val="nextPage"/>
      <w:pgSz w:w="11906" w:h="16838"/>
      <w:pgMar w:left="1701" w:right="1416" w:gutter="0" w:header="0"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74323706"/>
    </w:sdtPr>
    <w:sdtContent>
      <w:p>
        <w:pPr>
          <w:pStyle w:val="Rodap"/>
          <w:rPr>
            <w:sz w:val="16"/>
            <w:szCs w:val="16"/>
          </w:rPr>
        </w:pPr>
        <w:r>
          <w:rPr>
            <w:sz w:val="16"/>
            <w:szCs w:val="16"/>
          </w:rPr>
          <w:t>AGU - Advocacia Geral da União / CGU - Consultoria-Geral da União / Câmara Nacional de Modelos de Licitações e Contratos da Consultoria-Geral da União</w:t>
        </w:r>
      </w:p>
      <w:p>
        <w:pPr>
          <w:pStyle w:val="Rodap"/>
          <w:rPr>
            <w:sz w:val="16"/>
            <w:szCs w:val="16"/>
          </w:rPr>
        </w:pPr>
        <w:r>
          <w:rPr>
            <w:sz w:val="16"/>
            <w:szCs w:val="16"/>
          </w:rPr>
          <w:t>Modelo de Termo de Contrato para Licitações - SERVIÇOS CONTÍNUOS COM DEDICAÇÃO DE MÃO DE OBRA - Lei nº 14.133, de 2021.</w:t>
        </w:r>
      </w:p>
      <w:p>
        <w:pPr>
          <w:pStyle w:val="Rodap"/>
          <w:rPr>
            <w:sz w:val="16"/>
            <w:szCs w:val="16"/>
          </w:rPr>
        </w:pPr>
        <w:r>
          <w:rPr>
            <w:sz w:val="16"/>
            <w:szCs w:val="16"/>
          </w:rPr>
          <w:t>Aprovado pela Secretaria de Gestão e Inovação. Identidade visual pela Secretaria de Gestão e Inovação</w:t>
        </w:r>
      </w:p>
      <w:p>
        <w:pPr>
          <w:pStyle w:val="Rodap"/>
          <w:rPr>
            <w:sz w:val="16"/>
            <w:szCs w:val="16"/>
          </w:rPr>
        </w:pPr>
        <w:r>
          <w:rPr>
            <w:sz w:val="16"/>
            <w:szCs w:val="16"/>
          </w:rPr>
          <w:t>Atualização: NOV/2025</w:t>
        </w:r>
      </w:p>
      <w:p>
        <w:pPr>
          <w:pStyle w:val="Rodap"/>
          <w:rPr>
            <w:sz w:val="16"/>
            <w:szCs w:val="16"/>
          </w:rPr>
        </w:pPr>
        <w:r>
          <w:rPr>
            <w:sz w:val="16"/>
            <w:szCs w:val="16"/>
          </w:rPr>
          <w:t>Código de Identificação Ger@AGU: f79ddd1770990842990</w:t>
        </w:r>
      </w:p>
      <w:p>
        <w:pPr>
          <w:pStyle w:val="Rodap"/>
          <w:rPr>
            <w:sz w:val="16"/>
            <w:szCs w:val="16"/>
          </w:rPr>
        </w:pPr>
        <w:r>
          <w:rPr>
            <w:sz w:val="16"/>
            <w:szCs w:val="16"/>
          </w:rPr>
          <w:t xml:space="preserve">Código Ger@ do Edital : 8403281770928415319 </w:t>
        </w:r>
      </w:p>
      <w:p>
        <w:pPr>
          <w:pStyle w:val="Rodap"/>
          <w:jc w:val="right"/>
          <w:rPr>
            <w:b/>
          </w:rPr>
        </w:pPr>
        <w:r>
          <w:rPr>
            <w:b/>
          </w:rPr>
          <w:t xml:space="preserve">   </w:t>
        </w:r>
        <w:r>
          <w:rPr>
            <w:b/>
          </w:rPr>
          <w:fldChar w:fldCharType="begin"/>
        </w:r>
        <w:r>
          <w:rPr>
            <w:b/>
          </w:rPr>
          <w:instrText xml:space="preserve"> PAGE </w:instrText>
        </w:r>
        <w:r>
          <w:rPr>
            <w:b/>
          </w:rPr>
          <w:fldChar w:fldCharType="separate"/>
        </w:r>
        <w:r>
          <w:rPr>
            <w:b/>
          </w:rPr>
          <w:t>11</w:t>
        </w:r>
        <w:r>
          <w:rPr>
            <w:b/>
          </w:rPr>
          <w:fldChar w:fldCharType="end"/>
        </w:r>
        <w:r>
          <w:rPr>
            <w:b/>
          </w:rPr>
          <w:t>/14</w:t>
        </w:r>
      </w:p>
    </w:sdtContent>
  </w:sdt>
  <w:p>
    <w:pPr>
      <w:pStyle w:val="Rodap"/>
      <w:rPr/>
    </w:pPr>
    <w:r>
      <w:rPr/>
    </w:r>
  </w:p>
</w:ftr>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Celebrante1" w:customStyle="1">
    <w:name w:val="celebrante1"/>
    <w:basedOn w:val="DefaultParagraphFont"/>
    <w:qFormat/>
    <w:rsid w:val="008d5e21"/>
    <w:rPr/>
  </w:style>
  <w:style w:type="character" w:styleId="Assnome" w:customStyle="1">
    <w:name w:val="assnome"/>
    <w:basedOn w:val="DefaultParagraphFont"/>
    <w:qFormat/>
    <w:rsid w:val="008d5e21"/>
    <w:rPr/>
  </w:style>
  <w:style w:type="character" w:styleId="Asscargo" w:customStyle="1">
    <w:name w:val="asscargo"/>
    <w:basedOn w:val="DefaultParagraphFont"/>
    <w:qFormat/>
    <w:rsid w:val="008d5e21"/>
    <w:rPr/>
  </w:style>
  <w:style w:type="character" w:styleId="Numeraobjeto" w:customStyle="1">
    <w:name w:val="numeraobjeto"/>
    <w:basedOn w:val="DefaultParagraphFont"/>
    <w:qFormat/>
    <w:rsid w:val="008d5e21"/>
    <w:rPr/>
  </w:style>
  <w:style w:type="character" w:styleId="Layer1numeraobjeto" w:customStyle="1">
    <w:name w:val="layer1numeraobjeto"/>
    <w:basedOn w:val="DefaultParagraphFont"/>
    <w:qFormat/>
    <w:rsid w:val="008d5e21"/>
    <w:rPr/>
  </w:style>
  <w:style w:type="character" w:styleId="Layer2numeraobjeto" w:customStyle="1">
    <w:name w:val="layer2numeraobjeto"/>
    <w:basedOn w:val="DefaultParagraphFont"/>
    <w:qFormat/>
    <w:rsid w:val="008d5e21"/>
    <w:rPr/>
  </w:style>
  <w:style w:type="character" w:styleId="Numeravigencia" w:customStyle="1">
    <w:name w:val="numeravigencia"/>
    <w:basedOn w:val="DefaultParagraphFont"/>
    <w:qFormat/>
    <w:rsid w:val="008d5e21"/>
    <w:rPr/>
  </w:style>
  <w:style w:type="character" w:styleId="Layer1numeravigencia" w:customStyle="1">
    <w:name w:val="layer1numeravigencia"/>
    <w:basedOn w:val="DefaultParagraphFont"/>
    <w:qFormat/>
    <w:rsid w:val="008d5e21"/>
    <w:rPr/>
  </w:style>
  <w:style w:type="character" w:styleId="Layer2numeravigencia" w:customStyle="1">
    <w:name w:val="layer2numeravigencia"/>
    <w:basedOn w:val="DefaultParagraphFont"/>
    <w:qFormat/>
    <w:rsid w:val="008d5e21"/>
    <w:rPr/>
  </w:style>
  <w:style w:type="character" w:styleId="Numeramodelogestao" w:customStyle="1">
    <w:name w:val="numeramodelogestao"/>
    <w:basedOn w:val="DefaultParagraphFont"/>
    <w:qFormat/>
    <w:rsid w:val="008d5e21"/>
    <w:rPr/>
  </w:style>
  <w:style w:type="character" w:styleId="Layer1numeramodelogestao" w:customStyle="1">
    <w:name w:val="layer1numeramodelogestao"/>
    <w:basedOn w:val="DefaultParagraphFont"/>
    <w:qFormat/>
    <w:rsid w:val="008d5e21"/>
    <w:rPr/>
  </w:style>
  <w:style w:type="character" w:styleId="Numerasubcontratacao" w:customStyle="1">
    <w:name w:val="numerasubcontratacao"/>
    <w:basedOn w:val="DefaultParagraphFont"/>
    <w:qFormat/>
    <w:rsid w:val="008d5e21"/>
    <w:rPr/>
  </w:style>
  <w:style w:type="character" w:styleId="Layer1numerasubcontratacao" w:customStyle="1">
    <w:name w:val="layer1numerasubcontratacao"/>
    <w:basedOn w:val="DefaultParagraphFont"/>
    <w:qFormat/>
    <w:rsid w:val="008d5e21"/>
    <w:rPr/>
  </w:style>
  <w:style w:type="character" w:styleId="Numerapreco" w:customStyle="1">
    <w:name w:val="numerapreco"/>
    <w:basedOn w:val="DefaultParagraphFont"/>
    <w:qFormat/>
    <w:rsid w:val="008d5e21"/>
    <w:rPr/>
  </w:style>
  <w:style w:type="character" w:styleId="Layer1numerapreco" w:customStyle="1">
    <w:name w:val="layer1numerapreco"/>
    <w:basedOn w:val="DefaultParagraphFont"/>
    <w:qFormat/>
    <w:rsid w:val="008d5e21"/>
    <w:rPr/>
  </w:style>
  <w:style w:type="character" w:styleId="Numerapagamento" w:customStyle="1">
    <w:name w:val="numerapagamento"/>
    <w:basedOn w:val="DefaultParagraphFont"/>
    <w:qFormat/>
    <w:rsid w:val="008d5e21"/>
    <w:rPr/>
  </w:style>
  <w:style w:type="character" w:styleId="Layer1numerapagamento" w:customStyle="1">
    <w:name w:val="layer1numerapagamento"/>
    <w:basedOn w:val="DefaultParagraphFont"/>
    <w:qFormat/>
    <w:rsid w:val="008d5e21"/>
    <w:rPr/>
  </w:style>
  <w:style w:type="character" w:styleId="Numerareajuste" w:customStyle="1">
    <w:name w:val="numerareajuste"/>
    <w:basedOn w:val="DefaultParagraphFont"/>
    <w:qFormat/>
    <w:rsid w:val="008d5e21"/>
    <w:rPr/>
  </w:style>
  <w:style w:type="character" w:styleId="Layer1numerareajuste" w:customStyle="1">
    <w:name w:val="layer1numerareajuste"/>
    <w:basedOn w:val="DefaultParagraphFont"/>
    <w:qFormat/>
    <w:rsid w:val="008d5e21"/>
    <w:rPr/>
  </w:style>
  <w:style w:type="character" w:styleId="Numeraobcontratante" w:customStyle="1">
    <w:name w:val="numeraobcontratante"/>
    <w:basedOn w:val="DefaultParagraphFont"/>
    <w:qFormat/>
    <w:rsid w:val="008d5e21"/>
    <w:rPr/>
  </w:style>
  <w:style w:type="character" w:styleId="Layer1numeraobcontratante" w:customStyle="1">
    <w:name w:val="layer1numeraobcontratante"/>
    <w:basedOn w:val="DefaultParagraphFont"/>
    <w:qFormat/>
    <w:rsid w:val="008d5e21"/>
    <w:rPr/>
  </w:style>
  <w:style w:type="character" w:styleId="Layer2numeraobcontratante" w:customStyle="1">
    <w:name w:val="layer2numeraobcontratante"/>
    <w:basedOn w:val="DefaultParagraphFont"/>
    <w:qFormat/>
    <w:rsid w:val="008d5e21"/>
    <w:rPr/>
  </w:style>
  <w:style w:type="character" w:styleId="Numeraobcontratado" w:customStyle="1">
    <w:name w:val="numeraobcontratado"/>
    <w:basedOn w:val="DefaultParagraphFont"/>
    <w:qFormat/>
    <w:rsid w:val="008d5e21"/>
    <w:rPr/>
  </w:style>
  <w:style w:type="character" w:styleId="Layer1numeraobcontratado" w:customStyle="1">
    <w:name w:val="layer1numeraobcontratado"/>
    <w:basedOn w:val="DefaultParagraphFont"/>
    <w:qFormat/>
    <w:rsid w:val="008d5e21"/>
    <w:rPr/>
  </w:style>
  <w:style w:type="character" w:styleId="Layer2numeraobcontratado" w:customStyle="1">
    <w:name w:val="layer2numeraobcontratado"/>
    <w:basedOn w:val="DefaultParagraphFont"/>
    <w:qFormat/>
    <w:rsid w:val="008d5e21"/>
    <w:rPr/>
  </w:style>
  <w:style w:type="character" w:styleId="Numeracompjortrab" w:customStyle="1">
    <w:name w:val="numeracompjortrab"/>
    <w:basedOn w:val="DefaultParagraphFont"/>
    <w:qFormat/>
    <w:rsid w:val="008d5e21"/>
    <w:rPr/>
  </w:style>
  <w:style w:type="character" w:styleId="Layer1numeracompjortrab" w:customStyle="1">
    <w:name w:val="layer1numeracompjortrab"/>
    <w:basedOn w:val="DefaultParagraphFont"/>
    <w:qFormat/>
    <w:rsid w:val="008d5e21"/>
    <w:rPr/>
  </w:style>
  <w:style w:type="character" w:styleId="Numeragarexec" w:customStyle="1">
    <w:name w:val="numeragarexec"/>
    <w:basedOn w:val="DefaultParagraphFont"/>
    <w:qFormat/>
    <w:rsid w:val="008d5e21"/>
    <w:rPr/>
  </w:style>
  <w:style w:type="character" w:styleId="Layer1numeragarexec" w:customStyle="1">
    <w:name w:val="layer1numeragarexec"/>
    <w:basedOn w:val="DefaultParagraphFont"/>
    <w:qFormat/>
    <w:rsid w:val="008d5e21"/>
    <w:rPr/>
  </w:style>
  <w:style w:type="character" w:styleId="Numerainfracoes" w:customStyle="1">
    <w:name w:val="numerainfracoes"/>
    <w:basedOn w:val="DefaultParagraphFont"/>
    <w:qFormat/>
    <w:rsid w:val="008d5e21"/>
    <w:rPr/>
  </w:style>
  <w:style w:type="character" w:styleId="Layer1numerainfracoes" w:customStyle="1">
    <w:name w:val="layer1numerainfracoes"/>
    <w:basedOn w:val="DefaultParagraphFont"/>
    <w:qFormat/>
    <w:rsid w:val="008d5e21"/>
    <w:rPr/>
  </w:style>
  <w:style w:type="character" w:styleId="Numeraextctr" w:customStyle="1">
    <w:name w:val="numeraextctr"/>
    <w:basedOn w:val="DefaultParagraphFont"/>
    <w:qFormat/>
    <w:rsid w:val="008d5e21"/>
    <w:rPr/>
  </w:style>
  <w:style w:type="character" w:styleId="Layer1numeraextctr" w:customStyle="1">
    <w:name w:val="layer1numeraextctr"/>
    <w:basedOn w:val="DefaultParagraphFont"/>
    <w:qFormat/>
    <w:rsid w:val="008d5e21"/>
    <w:rPr/>
  </w:style>
  <w:style w:type="character" w:styleId="Layer2numeraextctr" w:customStyle="1">
    <w:name w:val="layer2numeraextctr"/>
    <w:basedOn w:val="DefaultParagraphFont"/>
    <w:qFormat/>
    <w:rsid w:val="008d5e21"/>
    <w:rPr/>
  </w:style>
  <w:style w:type="character" w:styleId="Numeraalteracoes" w:customStyle="1">
    <w:name w:val="numeraalteracoes"/>
    <w:basedOn w:val="DefaultParagraphFont"/>
    <w:qFormat/>
    <w:rsid w:val="008d5e21"/>
    <w:rPr/>
  </w:style>
  <w:style w:type="character" w:styleId="Layer1numeraalteracoes" w:customStyle="1">
    <w:name w:val="layer1numeraalteracoes"/>
    <w:basedOn w:val="DefaultParagraphFont"/>
    <w:qFormat/>
    <w:rsid w:val="008d5e21"/>
    <w:rPr/>
  </w:style>
  <w:style w:type="character" w:styleId="Numeradotorc" w:customStyle="1">
    <w:name w:val="numeradotorc"/>
    <w:basedOn w:val="DefaultParagraphFont"/>
    <w:qFormat/>
    <w:rsid w:val="008d5e21"/>
    <w:rPr/>
  </w:style>
  <w:style w:type="character" w:styleId="Layer1numeradotorc" w:customStyle="1">
    <w:name w:val="layer1numeradotorc"/>
    <w:basedOn w:val="DefaultParagraphFont"/>
    <w:qFormat/>
    <w:rsid w:val="008d5e21"/>
    <w:rPr/>
  </w:style>
  <w:style w:type="character" w:styleId="Numeraomissos" w:customStyle="1">
    <w:name w:val="numeraomissos"/>
    <w:basedOn w:val="DefaultParagraphFont"/>
    <w:qFormat/>
    <w:rsid w:val="008d5e21"/>
    <w:rPr/>
  </w:style>
  <w:style w:type="character" w:styleId="Layer1numeraomissos" w:customStyle="1">
    <w:name w:val="layer1numeraomissos"/>
    <w:basedOn w:val="DefaultParagraphFont"/>
    <w:qFormat/>
    <w:rsid w:val="008d5e21"/>
    <w:rPr/>
  </w:style>
  <w:style w:type="character" w:styleId="Numerapublicacao" w:customStyle="1">
    <w:name w:val="numerapublicacao"/>
    <w:basedOn w:val="DefaultParagraphFont"/>
    <w:qFormat/>
    <w:rsid w:val="008d5e21"/>
    <w:rPr/>
  </w:style>
  <w:style w:type="character" w:styleId="Layer1numerapublicacao" w:customStyle="1">
    <w:name w:val="layer1numerapublicacao"/>
    <w:basedOn w:val="DefaultParagraphFont"/>
    <w:qFormat/>
    <w:rsid w:val="008d5e21"/>
    <w:rPr/>
  </w:style>
  <w:style w:type="character" w:styleId="Numeraforo" w:customStyle="1">
    <w:name w:val="numeraforo"/>
    <w:basedOn w:val="DefaultParagraphFont"/>
    <w:qFormat/>
    <w:rsid w:val="008d5e21"/>
    <w:rPr/>
  </w:style>
  <w:style w:type="character" w:styleId="Layer1numeraforo" w:customStyle="1">
    <w:name w:val="layer1numeraforo"/>
    <w:basedOn w:val="DefaultParagraphFont"/>
    <w:qFormat/>
    <w:rsid w:val="008d5e21"/>
    <w:rPr/>
  </w:style>
  <w:style w:type="character" w:styleId="CabealhoChar" w:customStyle="1">
    <w:name w:val="Cabeçalho Char"/>
    <w:basedOn w:val="DefaultParagraphFont"/>
    <w:uiPriority w:val="99"/>
    <w:qFormat/>
    <w:rsid w:val="00744c3a"/>
    <w:rPr/>
  </w:style>
  <w:style w:type="character" w:styleId="RodapChar" w:customStyle="1">
    <w:name w:val="Rodapé Char"/>
    <w:basedOn w:val="DefaultParagraphFont"/>
    <w:uiPriority w:val="99"/>
    <w:qFormat/>
    <w:rsid w:val="00744c3a"/>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NormalWeb">
    <w:name w:val="Normal (Web)"/>
    <w:basedOn w:val="Normal"/>
    <w:uiPriority w:val="99"/>
    <w:semiHidden/>
    <w:unhideWhenUsed/>
    <w:qFormat/>
    <w:rsid w:val="008d5e21"/>
    <w:pPr>
      <w:spacing w:lineRule="auto" w:line="240" w:beforeAutospacing="1" w:afterAutospacing="1"/>
    </w:pPr>
    <w:rPr>
      <w:rFonts w:ascii="Times New Roman" w:hAnsi="Times New Roman" w:eastAsia="Times New Roman" w:cs="Times New Roman"/>
      <w:sz w:val="24"/>
      <w:szCs w:val="24"/>
      <w:lang w:eastAsia="pt-BR"/>
    </w:rPr>
  </w:style>
  <w:style w:type="paragraph" w:styleId="Ementa" w:customStyle="1">
    <w:name w:val="ementa"/>
    <w:basedOn w:val="Normal"/>
    <w:qFormat/>
    <w:rsid w:val="008d5e21"/>
    <w:pPr>
      <w:spacing w:lineRule="auto" w:line="240" w:beforeAutospacing="1" w:afterAutospacing="1"/>
    </w:pPr>
    <w:rPr>
      <w:rFonts w:ascii="Times New Roman" w:hAnsi="Times New Roman" w:eastAsia="Times New Roman" w:cs="Times New Roman"/>
      <w:sz w:val="24"/>
      <w:szCs w:val="24"/>
      <w:lang w:eastAsia="pt-BR"/>
    </w:rPr>
  </w:style>
  <w:style w:type="paragraph" w:styleId="Beforesub" w:customStyle="1">
    <w:name w:val="beforesub"/>
    <w:basedOn w:val="Normal"/>
    <w:qFormat/>
    <w:rsid w:val="008d5e21"/>
    <w:pPr>
      <w:spacing w:lineRule="auto" w:line="240" w:beforeAutospacing="1" w:afterAutospacing="1"/>
    </w:pPr>
    <w:rPr>
      <w:rFonts w:ascii="Times New Roman" w:hAnsi="Times New Roman" w:eastAsia="Times New Roman" w:cs="Times New Roman"/>
      <w:sz w:val="24"/>
      <w:szCs w:val="24"/>
      <w:lang w:eastAsia="pt-BR"/>
    </w:rPr>
  </w:style>
  <w:style w:type="paragraph" w:styleId="Sub1" w:customStyle="1">
    <w:name w:val="sub1"/>
    <w:basedOn w:val="Normal"/>
    <w:qFormat/>
    <w:rsid w:val="008d5e21"/>
    <w:pPr>
      <w:spacing w:lineRule="auto" w:line="240" w:beforeAutospacing="1" w:afterAutospacing="1"/>
    </w:pPr>
    <w:rPr>
      <w:rFonts w:ascii="Times New Roman" w:hAnsi="Times New Roman" w:eastAsia="Times New Roman" w:cs="Times New Roman"/>
      <w:sz w:val="24"/>
      <w:szCs w:val="24"/>
      <w:lang w:eastAsia="pt-BR"/>
    </w:rPr>
  </w:style>
  <w:style w:type="paragraph" w:styleId="Sub2" w:customStyle="1">
    <w:name w:val="sub2"/>
    <w:basedOn w:val="Normal"/>
    <w:qFormat/>
    <w:rsid w:val="008d5e21"/>
    <w:pPr>
      <w:spacing w:lineRule="auto" w:line="240" w:beforeAutospacing="1" w:afterAutospacing="1"/>
    </w:pPr>
    <w:rPr>
      <w:rFonts w:ascii="Times New Roman" w:hAnsi="Times New Roman" w:eastAsia="Times New Roman" w:cs="Times New Roman"/>
      <w:sz w:val="24"/>
      <w:szCs w:val="24"/>
      <w:lang w:eastAsia="pt-BR"/>
    </w:rPr>
  </w:style>
  <w:style w:type="paragraph" w:styleId="Aftersub" w:customStyle="1">
    <w:name w:val="aftersub"/>
    <w:basedOn w:val="Normal"/>
    <w:qFormat/>
    <w:rsid w:val="008d5e21"/>
    <w:pPr>
      <w:spacing w:lineRule="auto" w:line="240" w:beforeAutospacing="1" w:afterAutospacing="1"/>
    </w:pPr>
    <w:rPr>
      <w:rFonts w:ascii="Times New Roman" w:hAnsi="Times New Roman" w:eastAsia="Times New Roman" w:cs="Times New Roman"/>
      <w:sz w:val="24"/>
      <w:szCs w:val="24"/>
      <w:lang w:eastAsia="pt-BR"/>
    </w:rPr>
  </w:style>
  <w:style w:type="paragraph" w:styleId="Centralizado" w:customStyle="1">
    <w:name w:val="centralizado"/>
    <w:basedOn w:val="Normal"/>
    <w:qFormat/>
    <w:rsid w:val="008d5e21"/>
    <w:pPr>
      <w:spacing w:lineRule="auto" w:line="240" w:beforeAutospacing="1" w:afterAutospacing="1"/>
    </w:pPr>
    <w:rPr>
      <w:rFonts w:ascii="Times New Roman" w:hAnsi="Times New Roman" w:eastAsia="Times New Roman" w:cs="Times New Roman"/>
      <w:sz w:val="24"/>
      <w:szCs w:val="24"/>
      <w:lang w:eastAsia="pt-B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744c3a"/>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44c3a"/>
    <w:pPr>
      <w:tabs>
        <w:tab w:val="clear" w:pos="708"/>
        <w:tab w:val="center" w:pos="4252" w:leader="none"/>
        <w:tab w:val="right" w:pos="8504" w:leader="none"/>
      </w:tabs>
      <w:spacing w:lineRule="auto" w:line="240" w:before="0" w:after="0"/>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Application>LibreOffice/7.5.7.1$Windows_X86_64 LibreOffice_project/47eb0cf7efbacdee9b19ae25d6752381ede23126</Application>
  <AppVersion>15.0000</AppVersion>
  <Pages>16</Pages>
  <Words>5542</Words>
  <Characters>32308</Characters>
  <CharactersWithSpaces>37683</CharactersWithSpaces>
  <Paragraphs>286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2026-02-13T13:39:00Z</dcterms:created>
  <dc:creator>BADM-SALC</dc:creator>
  <dc:description/>
  <dc:language>pt-BR</dc:language>
  <cp:lastModifiedBy/>
  <dcterms:modified xsi:type="dcterms:W3CDTF">2026-02-24T14:22:05Z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